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1" w:hanging="0"/>
        <w:jc w:val="both"/>
        <w:rPr>
          <w:b w:val="false"/>
          <w:b w:val="false"/>
          <w:sz w:val="20"/>
        </w:rPr>
      </w:pPr>
      <w:r>
        <w:rPr>
          <w:b w:val="false"/>
          <w:sz w:val="20"/>
        </w:rPr>
        <w:t>Egregio Signor/Spett.le</w:t>
      </w:r>
    </w:p>
    <w:p>
      <w:pPr>
        <w:pStyle w:val="Normal"/>
        <w:widowControl w:val="false"/>
        <w:ind w:left="5041" w:hanging="0"/>
        <w:jc w:val="both"/>
        <w:rPr>
          <w:b w:val="false"/>
          <w:b w:val="false"/>
          <w:i/>
          <w:i/>
          <w:sz w:val="20"/>
          <w:highlight w:val="white"/>
        </w:rPr>
      </w:pPr>
      <w:r>
        <w:rPr>
          <w:b w:val="false"/>
          <w:sz w:val="20"/>
          <w:shd w:fill="FFFFFF" w:val="clear"/>
        </w:rPr>
        <w:t>[</w:t>
      </w:r>
      <w:r>
        <w:rPr>
          <w:b w:val="false"/>
          <w:i/>
          <w:sz w:val="20"/>
          <w:shd w:fill="FFFFFF" w:val="clear"/>
        </w:rPr>
        <w:t>Denominazione</w:t>
      </w:r>
    </w:p>
    <w:p>
      <w:pPr>
        <w:pStyle w:val="Normal"/>
        <w:widowControl w:val="false"/>
        <w:ind w:left="5041" w:hanging="0"/>
        <w:jc w:val="both"/>
        <w:rPr>
          <w:b w:val="false"/>
          <w:b w:val="false"/>
          <w:sz w:val="20"/>
          <w:highlight w:val="white"/>
        </w:rPr>
      </w:pPr>
      <w:r>
        <w:rPr>
          <w:b w:val="false"/>
          <w:i/>
          <w:sz w:val="20"/>
          <w:shd w:fill="FFFFFF" w:val="clear"/>
        </w:rPr>
        <w:t>Indirizzo</w:t>
      </w:r>
      <w:r>
        <w:rPr>
          <w:b w:val="false"/>
          <w:sz w:val="20"/>
          <w:shd w:fill="FFFFFF" w:val="clear"/>
        </w:rPr>
        <w:t>]</w:t>
      </w:r>
    </w:p>
    <w:p>
      <w:pPr>
        <w:pStyle w:val="Normal"/>
        <w:widowControl w:val="false"/>
        <w:ind w:left="5041" w:hanging="0"/>
        <w:jc w:val="both"/>
        <w:rPr>
          <w:b w:val="false"/>
          <w:b w:val="false"/>
          <w:sz w:val="20"/>
          <w:u w:val="single"/>
          <w:shd w:fill="FFFFFF" w:val="clear"/>
        </w:rPr>
      </w:pPr>
      <w:r>
        <w:rPr>
          <w:b w:val="false"/>
          <w:sz w:val="20"/>
          <w:u w:val="single"/>
          <w:shd w:fill="FFFFFF" w:val="clear"/>
        </w:rPr>
      </w:r>
    </w:p>
    <w:p>
      <w:pPr>
        <w:pStyle w:val="Normal"/>
        <w:widowControl w:val="false"/>
        <w:ind w:left="5041" w:hanging="0"/>
        <w:jc w:val="both"/>
        <w:rPr>
          <w:b w:val="false"/>
          <w:b w:val="false"/>
          <w:sz w:val="20"/>
          <w:shd w:fill="FFFFFF" w:val="clear"/>
        </w:rPr>
      </w:pPr>
      <w:r>
        <w:rPr>
          <w:b w:val="false"/>
          <w:sz w:val="20"/>
          <w:shd w:fill="FFFFFF" w:val="clear"/>
        </w:rPr>
      </w:r>
    </w:p>
    <w:p>
      <w:pPr>
        <w:pStyle w:val="Normal"/>
        <w:widowControl w:val="false"/>
        <w:ind w:left="5041" w:hanging="0"/>
        <w:jc w:val="both"/>
        <w:rPr>
          <w:b w:val="false"/>
          <w:b w:val="false"/>
          <w:sz w:val="20"/>
          <w:shd w:fill="FFFFFF" w:val="clear"/>
        </w:rPr>
      </w:pPr>
      <w:r>
        <w:rPr>
          <w:b w:val="false"/>
          <w:sz w:val="20"/>
          <w:shd w:fill="FFFFFF" w:val="clear"/>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pPr>
      <w:r>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t>A mani</w:t>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widowControl w:val="false"/>
        <w:ind w:left="5041" w:hanging="0"/>
        <w:jc w:val="both"/>
        <w:rPr>
          <w:b w:val="false"/>
          <w:b w:val="false"/>
          <w:sz w:val="20"/>
        </w:rPr>
      </w:pPr>
      <w:r>
        <w:rPr>
          <w:b w:val="false"/>
          <w:sz w:val="20"/>
        </w:rPr>
      </w:r>
    </w:p>
    <w:p>
      <w:pPr>
        <w:pStyle w:val="Normal"/>
        <w:ind w:left="4248" w:firstLine="708"/>
        <w:jc w:val="both"/>
        <w:rPr>
          <w:b w:val="false"/>
          <w:b w:val="false"/>
          <w:sz w:val="20"/>
        </w:rPr>
      </w:pPr>
      <w:r>
        <w:rPr>
          <w:b w:val="false"/>
          <w:sz w:val="20"/>
        </w:rPr>
        <w:t>Torino, [</w:t>
      </w:r>
      <w:r>
        <w:rPr>
          <w:b w:val="false"/>
          <w:i/>
          <w:sz w:val="20"/>
        </w:rPr>
        <w:t>data</w:t>
      </w:r>
      <w:r>
        <w:rPr>
          <w:b w:val="false"/>
          <w:sz w:val="20"/>
        </w:rPr>
        <w:t xml:space="preserve">] </w:t>
      </w:r>
    </w:p>
    <w:p>
      <w:pPr>
        <w:pStyle w:val="Normal"/>
        <w:widowControl w:val="false"/>
        <w:ind w:left="0" w:hanging="0"/>
        <w:jc w:val="both"/>
        <w:rPr>
          <w:sz w:val="20"/>
        </w:rPr>
      </w:pPr>
      <w:r>
        <w:rPr>
          <w:sz w:val="20"/>
        </w:rPr>
      </w:r>
    </w:p>
    <w:p>
      <w:pPr>
        <w:pStyle w:val="Normal"/>
        <w:widowControl w:val="false"/>
        <w:spacing w:before="0" w:after="120"/>
        <w:ind w:left="0" w:hanging="0"/>
        <w:jc w:val="both"/>
        <w:rPr>
          <w:b w:val="false"/>
          <w:b w:val="false"/>
          <w:sz w:val="20"/>
        </w:rPr>
      </w:pPr>
      <w:r>
        <w:rPr>
          <w:b w:val="false"/>
          <w:sz w:val="20"/>
        </w:rPr>
      </w:r>
    </w:p>
    <w:p>
      <w:pPr>
        <w:pStyle w:val="Normal"/>
        <w:widowControl w:val="false"/>
        <w:spacing w:before="0" w:after="120"/>
        <w:ind w:left="0" w:hanging="0"/>
        <w:jc w:val="both"/>
        <w:rPr>
          <w:b w:val="false"/>
          <w:b w:val="false"/>
          <w:sz w:val="20"/>
        </w:rPr>
      </w:pPr>
      <w:r>
        <w:rPr>
          <w:b w:val="false"/>
          <w:sz w:val="20"/>
        </w:rPr>
      </w:r>
    </w:p>
    <w:p>
      <w:pPr>
        <w:pStyle w:val="Normal"/>
        <w:widowControl w:val="false"/>
        <w:spacing w:before="0" w:after="120"/>
        <w:ind w:left="0" w:hanging="0"/>
        <w:jc w:val="both"/>
        <w:rPr>
          <w:b w:val="false"/>
          <w:b w:val="false"/>
          <w:sz w:val="20"/>
        </w:rPr>
      </w:pPr>
      <w:r>
        <w:rPr>
          <w:b w:val="false"/>
          <w:sz w:val="20"/>
        </w:rPr>
        <w:t>Egregio Signor/Spett.le [●]</w:t>
      </w:r>
    </w:p>
    <w:p>
      <w:pPr>
        <w:pStyle w:val="Normal"/>
        <w:widowControl w:val="false"/>
        <w:spacing w:before="0" w:after="120"/>
        <w:ind w:left="0" w:hanging="0"/>
        <w:jc w:val="both"/>
        <w:rPr>
          <w:b w:val="false"/>
          <w:b w:val="false"/>
          <w:sz w:val="20"/>
        </w:rPr>
      </w:pPr>
      <w:r>
        <w:rPr>
          <w:b w:val="false"/>
          <w:sz w:val="20"/>
        </w:rPr>
        <w:t>facendo seguito ai contatti intercorsi, con la presente formulo la mia disponibilità a fornire a [●] (il “</w:t>
      </w:r>
      <w:r>
        <w:rPr>
          <w:sz w:val="20"/>
        </w:rPr>
        <w:t>Cliente</w:t>
      </w:r>
      <w:r>
        <w:rPr>
          <w:b w:val="false"/>
          <w:sz w:val="20"/>
        </w:rPr>
        <w:t>”) attività di consulenza e assistenza legale negli ambiti di mia competenza e ai termini e condizioni di séguito previsti (l’“</w:t>
      </w:r>
      <w:r>
        <w:rPr>
          <w:sz w:val="20"/>
        </w:rPr>
        <w:t>Incarico</w:t>
      </w:r>
      <w:r>
        <w:rPr>
          <w:b w:val="false"/>
          <w:sz w:val="20"/>
        </w:rPr>
        <w:t>”).</w:t>
      </w:r>
    </w:p>
    <w:p>
      <w:pPr>
        <w:pStyle w:val="Normal"/>
        <w:widowControl w:val="false"/>
        <w:spacing w:before="0" w:after="120"/>
        <w:ind w:left="0" w:hanging="0"/>
        <w:jc w:val="both"/>
        <w:rPr>
          <w:b w:val="false"/>
          <w:b w:val="false"/>
          <w:sz w:val="20"/>
        </w:rPr>
      </w:pPr>
      <w:r>
        <w:rPr>
          <w:b w:val="false"/>
          <w:sz w:val="20"/>
        </w:rPr>
        <w:t>.</w:t>
      </w:r>
    </w:p>
    <w:p>
      <w:pPr>
        <w:pStyle w:val="Normal"/>
        <w:widowControl w:val="false"/>
        <w:spacing w:before="0" w:after="120"/>
        <w:ind w:left="0" w:hanging="0"/>
        <w:jc w:val="both"/>
        <w:rPr>
          <w:sz w:val="20"/>
        </w:rPr>
      </w:pPr>
      <w:r>
        <w:rPr>
          <w:sz w:val="20"/>
        </w:rPr>
        <w:t xml:space="preserve">1. </w:t>
      </w:r>
      <w:r>
        <w:rPr>
          <w:b w:val="false"/>
          <w:sz w:val="20"/>
        </w:rPr>
        <w:t xml:space="preserve">– </w:t>
      </w:r>
      <w:r>
        <w:rPr>
          <w:sz w:val="20"/>
        </w:rPr>
        <w:t>Oggetto e natura dell’Incarico.</w:t>
      </w:r>
    </w:p>
    <w:p>
      <w:pPr>
        <w:pStyle w:val="Normal"/>
        <w:widowControl w:val="false"/>
        <w:spacing w:before="0" w:after="120"/>
        <w:ind w:left="0" w:hanging="0"/>
        <w:jc w:val="both"/>
        <w:rPr>
          <w:b w:val="false"/>
          <w:b w:val="false"/>
          <w:sz w:val="20"/>
        </w:rPr>
      </w:pPr>
      <w:r>
        <w:rPr>
          <w:b w:val="false"/>
          <w:sz w:val="20"/>
        </w:rPr>
        <w:t>L’Incarico avrà per oggetto l’attività di assistenza, rappresentanza e difesa nella controversia giudiziale nell’ambito del [</w:t>
      </w:r>
      <w:r>
        <w:rPr>
          <w:b w:val="false"/>
          <w:i/>
          <w:sz w:val="20"/>
          <w:u w:val="single"/>
        </w:rPr>
        <w:t>descrivere l’oggetto della controversia con indicazione del valore della stessa</w:t>
      </w:r>
      <w:r>
        <w:rPr>
          <w:b w:val="false"/>
          <w:sz w:val="20"/>
        </w:rPr>
        <w:t>]. L’Incarico comprenderà le attività accessorie quali quelle di accesso alle cancellerie ed agli uffici, nonché di esecuzione di attività di segretariato.</w:t>
      </w:r>
    </w:p>
    <w:p>
      <w:pPr>
        <w:pStyle w:val="Normal"/>
        <w:widowControl w:val="false"/>
        <w:spacing w:before="0" w:after="120"/>
        <w:ind w:left="0" w:hanging="0"/>
        <w:jc w:val="both"/>
        <w:rPr>
          <w:b w:val="false"/>
          <w:b w:val="false"/>
          <w:sz w:val="20"/>
        </w:rPr>
      </w:pPr>
      <w:r>
        <w:rPr>
          <w:b w:val="false"/>
          <w:sz w:val="20"/>
        </w:rPr>
        <w:t>Per lo svolgimento dell’Incarico di cui al comma che precede il Cliente rilascerà, in forma scritta, la procura necessaria per la tutela giudiziale dei diritti oggetto dell’Incarico stesso.</w:t>
      </w:r>
    </w:p>
    <w:p>
      <w:pPr>
        <w:pStyle w:val="Normal"/>
        <w:widowControl w:val="false"/>
        <w:spacing w:before="0" w:after="120"/>
        <w:ind w:left="0" w:hanging="0"/>
        <w:jc w:val="both"/>
        <w:rPr>
          <w:sz w:val="20"/>
        </w:rPr>
      </w:pPr>
      <w:r>
        <w:rPr>
          <w:sz w:val="20"/>
        </w:rPr>
        <w:t>2. – Soggetti operanti.</w:t>
      </w:r>
    </w:p>
    <w:p>
      <w:pPr>
        <w:pStyle w:val="Normal"/>
        <w:widowControl w:val="false"/>
        <w:spacing w:before="0" w:after="120"/>
        <w:ind w:left="0" w:hanging="0"/>
        <w:jc w:val="both"/>
        <w:rPr>
          <w:b w:val="false"/>
          <w:b w:val="false"/>
          <w:sz w:val="20"/>
        </w:rPr>
      </w:pPr>
      <w:r>
        <w:rPr>
          <w:b w:val="false"/>
          <w:sz w:val="20"/>
        </w:rPr>
        <w:t xml:space="preserve">L’esecuzione di attività o incombenti relativi all’Incarico sarà svolta dal sottoscritto e potrà, anche parzialmente, essere delegata, per le attività non professionali, a dipendenti, sotto la propria responsabilità ed in conformità all’art. 2232 cod. civ., 2° comma. </w:t>
      </w:r>
    </w:p>
    <w:p>
      <w:pPr>
        <w:pStyle w:val="Normal"/>
        <w:widowControl w:val="false"/>
        <w:spacing w:before="0" w:after="120"/>
        <w:ind w:left="0" w:hanging="0"/>
        <w:jc w:val="both"/>
        <w:rPr>
          <w:b w:val="false"/>
          <w:b w:val="false"/>
          <w:sz w:val="20"/>
        </w:rPr>
      </w:pPr>
      <w:r>
        <w:rPr>
          <w:b w:val="false"/>
          <w:sz w:val="20"/>
        </w:rPr>
        <w:t>Ai sensi e per gli effetti di cui all’art. 2, comma 7°, del D.L. 132/2014 il Cliente dichiara di essere stato informato dal sottoscritto della possibilità di ricorrere alla convenzione di negoziazione assistita disciplinata dal Capo II dell’anzidetto D.L. attraverso la quale le parti possono convenire di cooperare in buona fede e con lealtà per risolvere in via amichevole la controversia tramite l’assistenza di avvocati iscritti all’albo.</w:t>
      </w:r>
    </w:p>
    <w:p>
      <w:pPr>
        <w:pStyle w:val="Normal"/>
        <w:widowControl w:val="false"/>
        <w:spacing w:before="0" w:after="120"/>
        <w:ind w:left="0" w:hanging="0"/>
        <w:jc w:val="both"/>
        <w:rPr>
          <w:sz w:val="20"/>
        </w:rPr>
      </w:pPr>
      <w:r>
        <w:rPr>
          <w:sz w:val="20"/>
        </w:rPr>
        <w:t xml:space="preserve">3. </w:t>
      </w:r>
      <w:r>
        <w:rPr>
          <w:b w:val="false"/>
          <w:sz w:val="20"/>
        </w:rPr>
        <w:t>–</w:t>
      </w:r>
      <w:r>
        <w:rPr>
          <w:sz w:val="20"/>
        </w:rPr>
        <w:t xml:space="preserve"> Compenso e spese.</w:t>
      </w:r>
    </w:p>
    <w:p>
      <w:pPr>
        <w:pStyle w:val="Normal"/>
        <w:widowControl w:val="false"/>
        <w:spacing w:before="0" w:after="120"/>
        <w:ind w:left="0" w:hanging="0"/>
        <w:jc w:val="both"/>
        <w:rPr>
          <w:b w:val="false"/>
          <w:b w:val="false"/>
          <w:sz w:val="20"/>
        </w:rPr>
      </w:pPr>
      <w:r>
        <w:rPr>
          <w:sz w:val="20"/>
        </w:rPr>
        <w:t>3.1 Compenso</w:t>
      </w:r>
      <w:r>
        <w:rPr>
          <w:b w:val="false"/>
          <w:sz w:val="20"/>
        </w:rPr>
        <w:t>. A fronte dei servizi di assistenza, rappresentanza e difesa prestati nell’ambito dell’Incarico, considerato il livello di complessità atteso - rispetto al quale il Cliente dichiara di essere stato preventivamente informato</w:t>
      </w:r>
      <w:r>
        <w:rPr>
          <w:i/>
          <w:szCs w:val="24"/>
        </w:rPr>
        <w:t xml:space="preserve"> </w:t>
      </w:r>
      <w:r>
        <w:rPr>
          <w:b w:val="false"/>
          <w:sz w:val="20"/>
        </w:rPr>
        <w:t>nonché di avere ricevuto tutte le informazioni utili circa gli oneri ipotizzabili dal momento del conferimento sino alla conclusione dell’Incarico - al sottoscritto verranno riconosciuti compensi secondo quanto  stabilito nel D.M. 10 marzo 2014, n. 55, maggiorati degli accessori di legge ove applicabili (Cassa Previdenza Avvocati ed Iva nella misura vigente al momento del pagamento).</w:t>
      </w:r>
    </w:p>
    <w:p>
      <w:pPr>
        <w:sectPr>
          <w:headerReference w:type="default" r:id="rId2"/>
          <w:footerReference w:type="default" r:id="rId3"/>
          <w:type w:val="nextPage"/>
          <w:pgSz w:w="11906" w:h="16838"/>
          <w:pgMar w:left="1985" w:right="1274" w:header="899" w:top="2268" w:footer="465" w:bottom="522" w:gutter="0"/>
          <w:pgNumType w:fmt="decimal"/>
          <w:formProt w:val="false"/>
          <w:textDirection w:val="lrTb"/>
          <w:docGrid w:type="default" w:linePitch="360" w:charSpace="4294961151"/>
        </w:sectPr>
        <w:pStyle w:val="Normal"/>
        <w:widowControl w:val="false"/>
        <w:numPr>
          <w:ilvl w:val="1"/>
          <w:numId w:val="2"/>
        </w:numPr>
        <w:spacing w:before="0" w:after="120"/>
        <w:jc w:val="both"/>
        <w:rPr>
          <w:b w:val="false"/>
          <w:b w:val="false"/>
          <w:sz w:val="20"/>
        </w:rPr>
      </w:pPr>
      <w:r>
        <w:rPr>
          <w:sz w:val="20"/>
        </w:rPr>
        <w:t>Spese</w:t>
      </w:r>
      <w:r>
        <w:rPr>
          <w:b w:val="false"/>
          <w:sz w:val="20"/>
        </w:rPr>
        <w:t>. Il sottoscritto avrà altresì diritto all’integrale rimborso delle spese vive sostenute per l’espletamento dell’Incarico tra cui, a titolo esemplificativo e non esaustivo, le spese relative a:</w:t>
      </w:r>
    </w:p>
    <w:p>
      <w:pPr>
        <w:pStyle w:val="Normal"/>
        <w:widowControl w:val="false"/>
        <w:numPr>
          <w:ilvl w:val="2"/>
          <w:numId w:val="2"/>
        </w:numPr>
        <w:spacing w:before="0" w:after="120"/>
        <w:ind w:left="567" w:hanging="720"/>
        <w:jc w:val="both"/>
        <w:rPr>
          <w:b w:val="false"/>
          <w:b w:val="false"/>
          <w:sz w:val="20"/>
        </w:rPr>
      </w:pPr>
      <w:r>
        <w:rPr>
          <w:b w:val="false"/>
          <w:sz w:val="20"/>
        </w:rPr>
        <w:t>trasferte e spostamenti richiesti per l’espletamento dell’Incarico e comprensive di (</w:t>
      </w:r>
      <w:r>
        <w:rPr>
          <w:b w:val="false"/>
          <w:i/>
          <w:sz w:val="20"/>
        </w:rPr>
        <w:t>i</w:t>
      </w:r>
      <w:r>
        <w:rPr>
          <w:b w:val="false"/>
          <w:sz w:val="20"/>
        </w:rPr>
        <w:t>) vitto e alloggio; (</w:t>
      </w:r>
      <w:r>
        <w:rPr>
          <w:b w:val="false"/>
          <w:i/>
          <w:sz w:val="20"/>
        </w:rPr>
        <w:t>ii</w:t>
      </w:r>
      <w:r>
        <w:rPr>
          <w:b w:val="false"/>
          <w:sz w:val="20"/>
        </w:rPr>
        <w:t>) trasporto con qualsiasi mezzo, ed in particolare via aereo, treno, nave, taxi, automobile (trovando applicazione, in tale ultimo caso, le tariffe ACI correnti o quelle di noleggio se necessario);</w:t>
      </w:r>
    </w:p>
    <w:p>
      <w:pPr>
        <w:pStyle w:val="Normal"/>
        <w:widowControl w:val="false"/>
        <w:numPr>
          <w:ilvl w:val="2"/>
          <w:numId w:val="2"/>
        </w:numPr>
        <w:spacing w:before="0" w:after="120"/>
        <w:ind w:left="567" w:hanging="720"/>
        <w:jc w:val="both"/>
        <w:rPr>
          <w:b w:val="false"/>
          <w:b w:val="false"/>
          <w:sz w:val="20"/>
        </w:rPr>
      </w:pPr>
      <w:r>
        <w:rPr>
          <w:b w:val="false"/>
          <w:sz w:val="20"/>
        </w:rPr>
        <w:t>prelievo, anche in via informatica, di visure camerali ed altri documenti dalle banche dati;</w:t>
      </w:r>
    </w:p>
    <w:p>
      <w:pPr>
        <w:pStyle w:val="Normal"/>
        <w:widowControl w:val="false"/>
        <w:numPr>
          <w:ilvl w:val="2"/>
          <w:numId w:val="2"/>
        </w:numPr>
        <w:spacing w:before="0" w:after="120"/>
        <w:ind w:left="567" w:hanging="720"/>
        <w:jc w:val="both"/>
        <w:rPr>
          <w:b w:val="false"/>
          <w:b w:val="false"/>
          <w:sz w:val="20"/>
        </w:rPr>
      </w:pPr>
      <w:r>
        <w:rPr>
          <w:b w:val="false"/>
          <w:sz w:val="20"/>
        </w:rPr>
        <w:t>fotocopie, notifiche, marche, bolli, corrieri e postali ed ogni altra eventuale anticipazioni a qualsivoglia titolo effettuata;</w:t>
      </w:r>
    </w:p>
    <w:p>
      <w:pPr>
        <w:pStyle w:val="Normal"/>
        <w:widowControl w:val="false"/>
        <w:numPr>
          <w:ilvl w:val="2"/>
          <w:numId w:val="2"/>
        </w:numPr>
        <w:spacing w:before="0" w:after="120"/>
        <w:ind w:left="567" w:hanging="720"/>
        <w:jc w:val="both"/>
        <w:rPr>
          <w:b w:val="false"/>
          <w:b w:val="false"/>
          <w:sz w:val="20"/>
        </w:rPr>
      </w:pPr>
      <w:r>
        <w:rPr>
          <w:b w:val="false"/>
          <w:sz w:val="20"/>
        </w:rPr>
        <w:t>eventuali attività di traduzione, di agenzia per visure ipocatastali o di altro genere, di richiesta di certificati, e per altre commissioni o collaborazioni esterne rispetto alle quali il sottoscritto avrà facoltà di agire in nome e per conto del Cliente il quale rilascia quindi il proprio consenso a che i soggetti terzi incaricati per le suddette attività emettano fattura direttamente al Cliente per le prestazioni rese e, a tal fine, rilascia il proprio consenso a che siano comunicati i dati del Cliente a detti soggetti terzi.</w:t>
      </w:r>
    </w:p>
    <w:p>
      <w:pPr>
        <w:pStyle w:val="Normal"/>
        <w:widowControl w:val="false"/>
        <w:spacing w:before="0" w:after="120"/>
        <w:ind w:left="0" w:hanging="0"/>
        <w:jc w:val="both"/>
        <w:rPr>
          <w:b w:val="false"/>
          <w:b w:val="false"/>
          <w:sz w:val="20"/>
        </w:rPr>
      </w:pPr>
      <w:r>
        <w:rPr>
          <w:b w:val="false"/>
          <w:sz w:val="20"/>
        </w:rPr>
        <w:t>Il Cliente si farà altresì carico in anticipo degli eventuali oneri a titolo di contributo unificato per spese di giustizia, a semplice richiesta del sottoscritto. Tutte le spese di cui sopra, ove già determinate nel loro ammontare, dovranno essere anticipate dal Cliente, a semplice richiesta.</w:t>
      </w:r>
    </w:p>
    <w:p>
      <w:pPr>
        <w:pStyle w:val="Normal"/>
        <w:widowControl w:val="false"/>
        <w:spacing w:before="0" w:after="120"/>
        <w:ind w:left="0" w:hanging="0"/>
        <w:jc w:val="both"/>
        <w:rPr>
          <w:b w:val="false"/>
          <w:b w:val="false"/>
          <w:sz w:val="20"/>
        </w:rPr>
      </w:pPr>
      <w:r>
        <w:rPr>
          <w:b w:val="false"/>
          <w:sz w:val="20"/>
        </w:rPr>
        <w:t>Per eventuali attività non previste nel presente Incarico curate su richiesta del Cliente la relativa remunerazione verrà di volta in volta concordata in buona fede tra le parti.</w:t>
      </w:r>
    </w:p>
    <w:p>
      <w:pPr>
        <w:pStyle w:val="Normal"/>
        <w:widowControl w:val="false"/>
        <w:numPr>
          <w:ilvl w:val="1"/>
          <w:numId w:val="1"/>
        </w:numPr>
        <w:spacing w:before="0" w:after="120"/>
        <w:jc w:val="both"/>
        <w:rPr>
          <w:b w:val="false"/>
          <w:b w:val="false"/>
          <w:sz w:val="20"/>
        </w:rPr>
      </w:pPr>
      <w:r>
        <w:rPr>
          <w:sz w:val="20"/>
        </w:rPr>
        <w:t>Rimborso spese generali</w:t>
      </w:r>
      <w:r>
        <w:rPr>
          <w:b w:val="false"/>
          <w:sz w:val="20"/>
        </w:rPr>
        <w:t>. Anche ai sensi dell’art. 2.2 del D.M. 10 marzo 2014, n. 55, il sottoscritto avrà altresì diritto ad un rimborso per spese generali pari al 15% da calcolarsi sui compensi riconosciuti ai sensi del par. 3.1, oltre IVA e CPA come per legge.</w:t>
      </w:r>
    </w:p>
    <w:p>
      <w:pPr>
        <w:pStyle w:val="ListParagraph"/>
        <w:widowControl w:val="false"/>
        <w:numPr>
          <w:ilvl w:val="1"/>
          <w:numId w:val="2"/>
        </w:numPr>
        <w:spacing w:before="0" w:after="120"/>
        <w:contextualSpacing/>
        <w:jc w:val="both"/>
        <w:rPr>
          <w:vanish/>
          <w:sz w:val="20"/>
        </w:rPr>
      </w:pPr>
      <w:r>
        <w:rPr>
          <w:vanish/>
          <w:sz w:val="20"/>
        </w:rPr>
      </w:r>
    </w:p>
    <w:p>
      <w:pPr>
        <w:pStyle w:val="Normal"/>
        <w:widowControl w:val="false"/>
        <w:numPr>
          <w:ilvl w:val="1"/>
          <w:numId w:val="2"/>
        </w:numPr>
        <w:spacing w:before="0" w:after="120"/>
        <w:jc w:val="both"/>
        <w:rPr>
          <w:b w:val="false"/>
          <w:b w:val="false"/>
          <w:sz w:val="20"/>
        </w:rPr>
      </w:pPr>
      <w:r>
        <w:rPr>
          <w:sz w:val="20"/>
        </w:rPr>
        <w:t>Modalità di pagamento</w:t>
      </w:r>
      <w:r>
        <w:rPr>
          <w:b w:val="false"/>
          <w:sz w:val="20"/>
        </w:rPr>
        <w:t>. Gli avvisi di parcella, esclusi quelli relativi all’acconto, verranno saldati dal Cliente dietro loro presentazione entro e non oltre 30 (trenta) giorni dalla data di ricevimento degli stessi. L’emissione degli avvisi di parcella relativi alle attività rese avverrà con le seguenti cadenze: [●].</w:t>
      </w:r>
    </w:p>
    <w:p>
      <w:pPr>
        <w:pStyle w:val="Normal"/>
        <w:widowControl w:val="false"/>
        <w:spacing w:before="0" w:after="120"/>
        <w:ind w:left="0" w:hanging="0"/>
        <w:jc w:val="both"/>
        <w:rPr>
          <w:b w:val="false"/>
          <w:b w:val="false"/>
          <w:sz w:val="20"/>
        </w:rPr>
      </w:pPr>
      <w:r>
        <w:rPr>
          <w:sz w:val="20"/>
        </w:rPr>
        <w:t xml:space="preserve">4. </w:t>
      </w:r>
      <w:r>
        <w:rPr>
          <w:b w:val="false"/>
          <w:sz w:val="20"/>
        </w:rPr>
        <w:t>–</w:t>
      </w:r>
      <w:r>
        <w:rPr>
          <w:sz w:val="20"/>
        </w:rPr>
        <w:t xml:space="preserve"> Altri consulenti</w:t>
      </w:r>
      <w:r>
        <w:rPr>
          <w:b w:val="false"/>
          <w:sz w:val="20"/>
        </w:rPr>
        <w:t xml:space="preserve">. </w:t>
      </w:r>
    </w:p>
    <w:p>
      <w:pPr>
        <w:pStyle w:val="Normal"/>
        <w:widowControl w:val="false"/>
        <w:spacing w:before="0" w:after="120"/>
        <w:ind w:left="0" w:hanging="0"/>
        <w:jc w:val="both"/>
        <w:rPr>
          <w:b w:val="false"/>
          <w:b w:val="false"/>
          <w:sz w:val="20"/>
        </w:rPr>
      </w:pPr>
      <w:r>
        <w:rPr>
          <w:b w:val="false"/>
          <w:sz w:val="20"/>
        </w:rPr>
        <w:t>L’Incarico non comprende servizi professionali che esulino dalle attività di competenza del sottoscritto; in particolare, ed a titolo esemplificativo, sono esclusi i servizi di consulenza contabile e amministrativa, finanziaria, fiscale, tributaria ed i servizi di revisione contabile. Nessun compenso dovuto ad altri consulenti eventualmente incaricati dal Cliente potrà in alcun modo andare a deduzione di quanto dovuto dal Cliente in forza dell’Incarico, secondo i termini di cui alla presente.</w:t>
      </w:r>
    </w:p>
    <w:p>
      <w:pPr>
        <w:pStyle w:val="Normal"/>
        <w:widowControl w:val="false"/>
        <w:spacing w:before="0" w:after="120"/>
        <w:ind w:left="0" w:hanging="0"/>
        <w:jc w:val="both"/>
        <w:rPr>
          <w:sz w:val="20"/>
        </w:rPr>
      </w:pPr>
      <w:r>
        <w:rPr>
          <w:sz w:val="20"/>
        </w:rPr>
        <w:t xml:space="preserve">5. </w:t>
      </w:r>
      <w:r>
        <w:rPr>
          <w:b w:val="false"/>
          <w:sz w:val="20"/>
        </w:rPr>
        <w:t xml:space="preserve">– </w:t>
      </w:r>
      <w:r>
        <w:rPr>
          <w:sz w:val="20"/>
        </w:rPr>
        <w:t>Riferimenti polizza assicurativa rischi professionali</w:t>
      </w:r>
    </w:p>
    <w:p>
      <w:pPr>
        <w:pStyle w:val="Normal"/>
        <w:widowControl w:val="false"/>
        <w:spacing w:before="0" w:after="120"/>
        <w:ind w:left="0" w:hanging="0"/>
        <w:jc w:val="both"/>
        <w:rPr>
          <w:b w:val="false"/>
          <w:b w:val="false"/>
          <w:sz w:val="20"/>
        </w:rPr>
      </w:pPr>
      <w:r>
        <w:rPr>
          <w:b w:val="false"/>
          <w:sz w:val="20"/>
        </w:rPr>
        <w:t xml:space="preserve">I riferimenti della polizza assicurativa rischi professionali del sottoscritto sono i seguenti: [●]. </w:t>
      </w:r>
    </w:p>
    <w:p>
      <w:pPr>
        <w:pStyle w:val="Normal"/>
        <w:widowControl w:val="false"/>
        <w:spacing w:before="0" w:after="120"/>
        <w:ind w:left="0" w:hanging="0"/>
        <w:jc w:val="both"/>
        <w:rPr>
          <w:sz w:val="20"/>
        </w:rPr>
      </w:pPr>
      <w:r>
        <w:rPr>
          <w:sz w:val="20"/>
        </w:rPr>
        <w:t>6. – Raccolta delle informazioni.</w:t>
      </w:r>
    </w:p>
    <w:p>
      <w:pPr>
        <w:pStyle w:val="Normal"/>
        <w:widowControl w:val="false"/>
        <w:spacing w:before="0" w:after="120"/>
        <w:ind w:left="0" w:hanging="0"/>
        <w:jc w:val="both"/>
        <w:rPr>
          <w:b w:val="false"/>
          <w:b w:val="false"/>
          <w:sz w:val="20"/>
        </w:rPr>
      </w:pPr>
      <w:r>
        <w:rPr>
          <w:b w:val="false"/>
          <w:sz w:val="20"/>
        </w:rPr>
        <w:t>Ferme le ulteriori previsioni oggetto dell’Incarico, il Cliente si obbliga in generale a prestare la massima collaborazione ed a fornire al sottoscritto, direttamente o tramite propri dipendenti, collaboratori, consulenti o comunque soggetti allo stesso collegati o dallo stesso incaricati (di séguito, congiuntamente, i “</w:t>
      </w:r>
      <w:r>
        <w:rPr>
          <w:sz w:val="20"/>
        </w:rPr>
        <w:t>Soggetti collegati</w:t>
      </w:r>
      <w:r>
        <w:rPr>
          <w:b w:val="false"/>
          <w:sz w:val="20"/>
        </w:rPr>
        <w:t>”) tutti i dati, le informazioni, i documenti e le dichiarazioni (di séguito, congiuntamente, i “</w:t>
      </w:r>
      <w:r>
        <w:rPr>
          <w:sz w:val="20"/>
        </w:rPr>
        <w:t>Dati</w:t>
      </w:r>
      <w:r>
        <w:rPr>
          <w:b w:val="false"/>
          <w:sz w:val="20"/>
        </w:rPr>
        <w:t xml:space="preserve">”) necessari affinché l’Incarico possa essere eseguito, nel rispetto delle Leggi. </w:t>
      </w:r>
    </w:p>
    <w:p>
      <w:pPr>
        <w:pStyle w:val="Normal"/>
        <w:widowControl w:val="false"/>
        <w:spacing w:before="0" w:after="120"/>
        <w:ind w:left="0" w:hanging="0"/>
        <w:jc w:val="both"/>
        <w:rPr>
          <w:b w:val="false"/>
          <w:b w:val="false"/>
          <w:sz w:val="20"/>
        </w:rPr>
      </w:pPr>
      <w:r>
        <w:rPr>
          <w:b w:val="false"/>
          <w:sz w:val="20"/>
        </w:rPr>
        <w:t xml:space="preserve">I Dati sono comunicati verbalmente o per iscritto dal Cliente sotto la propria personale responsabilità essendo inteso che il sottoscritto non sarà tenuto a svolgere alcuna indagine, analisi o valutazione circa l’accuratezza, la correttezza, la veridicità e la completezza dei Dati che gli verranno forniti nel corso dell’esecuzione dell’Incarico, che verranno assunti come tali, ivi compresi quelli di pubblico dominio. </w:t>
      </w:r>
    </w:p>
    <w:p>
      <w:pPr>
        <w:pStyle w:val="Normal"/>
        <w:widowControl w:val="false"/>
        <w:spacing w:before="0" w:after="120"/>
        <w:ind w:left="0" w:hanging="0"/>
        <w:jc w:val="both"/>
        <w:rPr>
          <w:b w:val="false"/>
          <w:b w:val="false"/>
          <w:sz w:val="20"/>
        </w:rPr>
      </w:pPr>
      <w:r>
        <w:rPr>
          <w:b w:val="false"/>
          <w:sz w:val="20"/>
        </w:rPr>
        <w:t xml:space="preserve">Il Cliente dichiara e riconosce di essere stato informato della circostanza che il mancato, il tardivo o il parziale rilascio in tutto o in parte di Dati può pregiudicare la capacità del sottoscritto di dare esecuzione all’Incarico richiesto e comportare un legittimo diritto del sottoscritto di sospendere l’esecuzione dell’Incarico, anche ai sensi dell’art. 1460 cod. civ., o di recedere dall’Incarico per giusta causa; pertanto, si impegna a comunicare senza ritardo ogni eventuale integrazione o variazione dei Dati necessari e solo potenzialmente in grado di incidere sull’esecuzione dell’Incarico di cui sia o venga a conoscenza. </w:t>
      </w:r>
    </w:p>
    <w:p>
      <w:pPr>
        <w:pStyle w:val="Normal"/>
        <w:widowControl w:val="false"/>
        <w:spacing w:before="0" w:after="120"/>
        <w:ind w:left="0" w:hanging="0"/>
        <w:jc w:val="both"/>
        <w:rPr>
          <w:b w:val="false"/>
          <w:b w:val="false"/>
          <w:sz w:val="20"/>
        </w:rPr>
      </w:pPr>
      <w:r>
        <w:rPr>
          <w:b w:val="false"/>
          <w:sz w:val="20"/>
        </w:rPr>
        <w:t xml:space="preserve">Il sottoscritto non sarà inoltre tenuto ad effettuare una valutazione delle capacità tecniche, professionali o finanziarie del Cliente, dei Soggetti collegati e di ogni altro soggetto con riferimento all’Incarico. </w:t>
      </w:r>
    </w:p>
    <w:p>
      <w:pPr>
        <w:pStyle w:val="Normal"/>
        <w:widowControl w:val="false"/>
        <w:spacing w:before="0" w:after="120"/>
        <w:ind w:left="0" w:hanging="0"/>
        <w:jc w:val="both"/>
        <w:rPr>
          <w:sz w:val="20"/>
        </w:rPr>
      </w:pPr>
      <w:r>
        <w:rPr>
          <w:sz w:val="20"/>
        </w:rPr>
        <w:t>7. – Durata.</w:t>
      </w:r>
    </w:p>
    <w:p>
      <w:pPr>
        <w:pStyle w:val="Normal"/>
        <w:widowControl w:val="false"/>
        <w:spacing w:before="0" w:after="120"/>
        <w:ind w:left="0" w:hanging="0"/>
        <w:jc w:val="both"/>
        <w:rPr>
          <w:b w:val="false"/>
          <w:b w:val="false"/>
          <w:sz w:val="20"/>
        </w:rPr>
      </w:pPr>
      <w:r>
        <w:rPr>
          <w:b w:val="false"/>
          <w:sz w:val="20"/>
        </w:rPr>
        <w:t>L’Incarico è conferito a tempo indeterminato, con decorrenza dalla data di sottoscrizione per accettazione della presente; ciascuna delle parti potrà recedere mediante invio di lettera raccomandata con ricevuta di ritorno o a mezzo fax, che avrà effetto decorsi quindici giorni dalla data di ricevimento. In tal caso, il Cliente dovrà corrispondere le somme maturate a titolo di compensi nonché le spese e gli oneri accessori ai sensi del par. 3, calcolati fino alla data di scioglimento del rapporto. In caso di recesso da parte del Cliente, questi si obbliga a nominare, nel più breve tempo possibile, un legale in sostituzione e a comunicarne tempestivamente il nominativo al sottoscritto.</w:t>
      </w:r>
    </w:p>
    <w:p>
      <w:pPr>
        <w:pStyle w:val="Normal"/>
        <w:widowControl w:val="false"/>
        <w:spacing w:before="0" w:after="120"/>
        <w:ind w:left="0" w:hanging="0"/>
        <w:jc w:val="both"/>
        <w:rPr>
          <w:sz w:val="20"/>
        </w:rPr>
      </w:pPr>
      <w:r>
        <w:rPr>
          <w:sz w:val="20"/>
        </w:rPr>
        <w:t xml:space="preserve">8. </w:t>
      </w:r>
      <w:r>
        <w:rPr>
          <w:b w:val="false"/>
          <w:sz w:val="20"/>
        </w:rPr>
        <w:t>–</w:t>
      </w:r>
      <w:r>
        <w:rPr>
          <w:sz w:val="20"/>
        </w:rPr>
        <w:t xml:space="preserve"> Manleva</w:t>
      </w:r>
    </w:p>
    <w:p>
      <w:pPr>
        <w:pStyle w:val="Normal"/>
        <w:widowControl w:val="false"/>
        <w:spacing w:before="0" w:after="120"/>
        <w:ind w:left="0" w:hanging="0"/>
        <w:jc w:val="both"/>
        <w:rPr>
          <w:b w:val="false"/>
          <w:b w:val="false"/>
          <w:sz w:val="20"/>
        </w:rPr>
      </w:pPr>
      <w:r>
        <w:rPr>
          <w:b w:val="false"/>
          <w:sz w:val="20"/>
        </w:rPr>
        <w:t>Il Cliente si impegna a manlevare e tenere indenne il sottoscritto e dipendenti dello stesso, da qualsiasi pretesa, responsabilità, danno, perdita o passività – anche solidale – cui fossero soggetti in relazione all’Incarico e conseguenti ai Dati provenienti dal Cliente o dai Soggetti collegati, nonché alla non veridicità di quanto dichiarato ed al mancato ottemperamento a quanto sopra previsto, ad eccezione che per il caso di pretesa, responsabilità, danno, perdita o passività che siano conseguenza diretta e immediata di una condotta dolosa o gravemente colposa.</w:t>
      </w:r>
    </w:p>
    <w:p>
      <w:pPr>
        <w:pStyle w:val="Normal"/>
        <w:widowControl w:val="false"/>
        <w:spacing w:before="0" w:after="120"/>
        <w:ind w:left="0" w:hanging="0"/>
        <w:jc w:val="both"/>
        <w:rPr>
          <w:b w:val="false"/>
          <w:b w:val="false"/>
          <w:sz w:val="20"/>
        </w:rPr>
      </w:pPr>
      <w:r>
        <w:rPr>
          <w:b w:val="false"/>
          <w:sz w:val="20"/>
        </w:rPr>
        <w:t>Gli impegni del Cliente di cui al presente par. 8 rimarranno validi anche dopo la cessazione dell’Incarico.</w:t>
      </w:r>
    </w:p>
    <w:p>
      <w:pPr>
        <w:pStyle w:val="Normal"/>
        <w:widowControl w:val="false"/>
        <w:spacing w:before="0" w:after="120"/>
        <w:ind w:left="0" w:hanging="0"/>
        <w:jc w:val="both"/>
        <w:rPr>
          <w:b w:val="false"/>
          <w:b w:val="false"/>
          <w:sz w:val="20"/>
        </w:rPr>
      </w:pPr>
      <w:r>
        <w:rPr>
          <w:b w:val="false"/>
          <w:sz w:val="20"/>
        </w:rPr>
        <w:t xml:space="preserve">Il sottoscritto non assume alcun impegno o responsabilità in relazione al contenuto ed alla revisione del contenuto di consulenze specialistiche e professionali rese al Cliente da soggetti terzi. </w:t>
      </w:r>
    </w:p>
    <w:p>
      <w:pPr>
        <w:pStyle w:val="Normal"/>
        <w:widowControl w:val="false"/>
        <w:spacing w:before="0" w:after="120"/>
        <w:ind w:left="0" w:hanging="0"/>
        <w:jc w:val="both"/>
        <w:rPr>
          <w:sz w:val="20"/>
        </w:rPr>
      </w:pPr>
      <w:r>
        <w:rPr>
          <w:sz w:val="20"/>
        </w:rPr>
        <w:t xml:space="preserve">9. – Altre previsioni </w:t>
      </w:r>
    </w:p>
    <w:p>
      <w:pPr>
        <w:pStyle w:val="Normal"/>
        <w:widowControl w:val="false"/>
        <w:spacing w:before="0" w:after="120"/>
        <w:ind w:left="0" w:hanging="0"/>
        <w:jc w:val="both"/>
        <w:rPr>
          <w:b w:val="false"/>
          <w:b w:val="false"/>
          <w:sz w:val="20"/>
        </w:rPr>
      </w:pPr>
      <w:r>
        <w:rPr>
          <w:b w:val="false"/>
          <w:sz w:val="20"/>
        </w:rPr>
        <w:t>Qualsiasi modifica al presente Incarico sarà valida e vincolante unicamente se effettuata per iscritto e sottoscritta da entrambe le parti. Nel caso in cui alcuna delle disposizioni dell’Incarico dovesse essere considerata invalida, o comunque inefficace o non eseguibile, tale vizio non pregiudicherà in alcun modo la piena validità, efficacia ed eseguibilità delle restanti disposizioni dell’Incarico.</w:t>
      </w:r>
    </w:p>
    <w:p>
      <w:pPr>
        <w:pStyle w:val="Normal"/>
        <w:widowControl w:val="false"/>
        <w:spacing w:before="0" w:after="120"/>
        <w:ind w:left="0" w:hanging="0"/>
        <w:jc w:val="both"/>
        <w:rPr>
          <w:b w:val="false"/>
          <w:b w:val="false"/>
          <w:sz w:val="20"/>
        </w:rPr>
      </w:pPr>
      <w:r>
        <w:rPr>
          <w:b w:val="false"/>
          <w:sz w:val="20"/>
        </w:rPr>
        <w:t>L’Incarico non costituisce alcun vincolo di subordinazione organizzativa, gerarchica o funzionale e verrà svolto personalmente dal sottoscritto. L’Incarico viene conferito con dispensa preventiva dall’obbligo di rendiconto. Per quanto non espressamente previsto, si applicheranno all’Incarico le disposizioni degli articoli 2229 e ss. cod. civ. Il presente Incarico rappresenta un’obbligazione di mezzi e non di risultato.</w:t>
      </w:r>
    </w:p>
    <w:p>
      <w:pPr>
        <w:pStyle w:val="Normal"/>
        <w:widowControl w:val="false"/>
        <w:spacing w:before="0" w:after="120"/>
        <w:ind w:left="0" w:hanging="0"/>
        <w:rPr>
          <w:bCs/>
          <w:sz w:val="20"/>
        </w:rPr>
      </w:pPr>
      <w:r>
        <w:rPr>
          <w:sz w:val="20"/>
        </w:rPr>
        <w:t xml:space="preserve">10. </w:t>
      </w:r>
      <w:r>
        <w:rPr>
          <w:b w:val="false"/>
          <w:sz w:val="20"/>
        </w:rPr>
        <w:t>–</w:t>
      </w:r>
      <w:r>
        <w:rPr>
          <w:sz w:val="20"/>
        </w:rPr>
        <w:t xml:space="preserve"> </w:t>
      </w:r>
      <w:r>
        <w:rPr>
          <w:bCs/>
          <w:sz w:val="20"/>
        </w:rPr>
        <w:t>Informativa sul trattamento dei dati personali.</w:t>
      </w:r>
    </w:p>
    <w:p>
      <w:pPr>
        <w:pStyle w:val="Normal"/>
        <w:widowControl w:val="false"/>
        <w:spacing w:before="0" w:after="120"/>
        <w:ind w:left="0" w:hanging="0"/>
        <w:jc w:val="both"/>
        <w:rPr>
          <w:b w:val="false"/>
          <w:b w:val="false"/>
          <w:sz w:val="20"/>
        </w:rPr>
      </w:pPr>
      <w:r>
        <w:rPr>
          <w:b w:val="false"/>
          <w:sz w:val="20"/>
        </w:rPr>
        <w:t xml:space="preserve">Le informazioni di carattere personale di cui il sottoscritto verrà a conoscenza durante l’esecuzione dell’Incarico saranno trattate in conformità al D. Lgs. 196/2003 </w:t>
      </w:r>
      <w:bookmarkStart w:id="0" w:name="_GoBack"/>
      <w:r>
        <w:rPr>
          <w:b w:val="false"/>
          <w:sz w:val="20"/>
        </w:rPr>
        <w:t>alle condizioni e secondo le modalità di cui alla specifica Informativa sottoscritta dal Cliente</w:t>
      </w:r>
      <w:bookmarkEnd w:id="0"/>
      <w:r>
        <w:rPr>
          <w:b w:val="false"/>
          <w:sz w:val="20"/>
        </w:rPr>
        <w:t xml:space="preserve"> e verranno utilizzate esclusivamente ai fini dell’adempimento dell’Incarico stesso.</w:t>
      </w:r>
    </w:p>
    <w:p>
      <w:pPr>
        <w:pStyle w:val="Normal"/>
        <w:widowControl w:val="false"/>
        <w:spacing w:before="0" w:after="120"/>
        <w:ind w:left="0" w:hanging="0"/>
        <w:jc w:val="both"/>
        <w:rPr>
          <w:sz w:val="20"/>
        </w:rPr>
      </w:pPr>
      <w:r>
        <w:rPr>
          <w:sz w:val="20"/>
        </w:rPr>
        <w:t>11. – Foro competente e legge applicabile.</w:t>
      </w:r>
    </w:p>
    <w:p>
      <w:pPr>
        <w:pStyle w:val="Normal"/>
        <w:widowControl w:val="false"/>
        <w:spacing w:before="0" w:after="120"/>
        <w:ind w:left="0" w:hanging="0"/>
        <w:jc w:val="both"/>
        <w:rPr>
          <w:b w:val="false"/>
          <w:b w:val="false"/>
          <w:sz w:val="20"/>
        </w:rPr>
      </w:pPr>
      <w:r>
        <w:rPr>
          <w:b w:val="false"/>
          <w:sz w:val="20"/>
        </w:rPr>
        <w:t xml:space="preserve">Foro competente per tutte le controversie derivanti dall’Incarico è Torino, con esclusione di ogni altro Foro alternativo o concorrente. </w:t>
      </w:r>
    </w:p>
    <w:p>
      <w:pPr>
        <w:pStyle w:val="Normal"/>
        <w:widowControl w:val="false"/>
        <w:spacing w:before="0" w:after="120"/>
        <w:ind w:left="0" w:hanging="0"/>
        <w:jc w:val="both"/>
        <w:rPr>
          <w:b w:val="false"/>
          <w:b w:val="false"/>
          <w:sz w:val="20"/>
        </w:rPr>
      </w:pPr>
      <w:r>
        <w:rPr>
          <w:b w:val="false"/>
          <w:sz w:val="20"/>
        </w:rPr>
        <w:t xml:space="preserve">In alternativa: </w:t>
      </w:r>
    </w:p>
    <w:p>
      <w:pPr>
        <w:pStyle w:val="Normal"/>
        <w:widowControl w:val="false"/>
        <w:spacing w:before="0" w:after="120"/>
        <w:ind w:left="0" w:hanging="0"/>
        <w:jc w:val="both"/>
        <w:rPr>
          <w:b w:val="false"/>
          <w:b w:val="false"/>
          <w:sz w:val="20"/>
        </w:rPr>
      </w:pPr>
      <w:r>
        <w:rPr>
          <w:b w:val="false"/>
          <w:sz w:val="20"/>
        </w:rPr>
        <w:t>Tutte le controversie derivanti dall’Incarico, ivi incluse quelle relative alla validità, interpretazione, efficacia, esecuzione e scioglimento del medesimo, saranno sottoposte ad arbitrato Rapido, a prescindere dal valore della controversia, rituale e di diritto; l’Arbitro unico sarà nominato ed agirà ai sensi del Regolamento della Camera Arbitrale del Piemonte come derogato dalla presente.</w:t>
      </w:r>
    </w:p>
    <w:p>
      <w:pPr>
        <w:pStyle w:val="Normal"/>
        <w:widowControl w:val="false"/>
        <w:spacing w:before="0" w:after="120"/>
        <w:ind w:left="0" w:hanging="0"/>
        <w:jc w:val="both"/>
        <w:rPr>
          <w:b w:val="false"/>
          <w:b w:val="false"/>
          <w:sz w:val="20"/>
        </w:rPr>
      </w:pPr>
      <w:r>
        <w:rPr>
          <w:b w:val="false"/>
          <w:sz w:val="20"/>
        </w:rPr>
        <w:t>L’Incarico è sottoposto alla legge italiana.</w:t>
      </w:r>
    </w:p>
    <w:p>
      <w:pPr>
        <w:pStyle w:val="Normal"/>
        <w:widowControl w:val="false"/>
        <w:spacing w:before="0" w:after="120"/>
        <w:ind w:left="0" w:hanging="0"/>
        <w:jc w:val="center"/>
        <w:rPr>
          <w:sz w:val="20"/>
        </w:rPr>
      </w:pPr>
      <w:r>
        <w:rPr>
          <w:sz w:val="20"/>
        </w:rPr>
        <w:t>* * *</w:t>
      </w:r>
    </w:p>
    <w:p>
      <w:pPr>
        <w:pStyle w:val="Normal"/>
        <w:widowControl w:val="false"/>
        <w:spacing w:before="0" w:after="120"/>
        <w:ind w:left="0" w:hanging="0"/>
        <w:jc w:val="both"/>
        <w:rPr>
          <w:b w:val="false"/>
          <w:b w:val="false"/>
          <w:sz w:val="20"/>
        </w:rPr>
      </w:pPr>
      <w:r>
        <w:rPr>
          <w:b w:val="false"/>
          <w:sz w:val="20"/>
        </w:rPr>
        <w:t>Nel caso in cui decida di conferirmi l’Incarico, Le sarò grato se vorrà sottoscrivere copia della presente in segno di accettazione e ritrasmettermela.</w:t>
      </w:r>
    </w:p>
    <w:p>
      <w:pPr>
        <w:pStyle w:val="Normal"/>
        <w:widowControl w:val="false"/>
        <w:spacing w:before="0" w:after="120"/>
        <w:ind w:left="0" w:hanging="0"/>
        <w:jc w:val="both"/>
        <w:rPr>
          <w:b w:val="false"/>
          <w:b w:val="false"/>
          <w:sz w:val="20"/>
        </w:rPr>
      </w:pPr>
      <w:r>
        <w:rPr>
          <w:b w:val="false"/>
          <w:sz w:val="20"/>
        </w:rPr>
        <w:t>Resto a disposizione.</w:t>
      </w:r>
    </w:p>
    <w:p>
      <w:pPr>
        <w:pStyle w:val="Normal"/>
        <w:widowControl w:val="false"/>
        <w:spacing w:before="0" w:after="120"/>
        <w:ind w:left="0" w:hanging="0"/>
        <w:jc w:val="both"/>
        <w:rPr>
          <w:b w:val="false"/>
          <w:b w:val="false"/>
          <w:sz w:val="20"/>
        </w:rPr>
      </w:pPr>
      <w:r>
        <w:rPr>
          <w:b w:val="false"/>
          <w:sz w:val="20"/>
        </w:rPr>
        <w:t>Cordiali saluti.</w:t>
      </w:r>
    </w:p>
    <w:p>
      <w:pPr>
        <w:pStyle w:val="Normal"/>
        <w:tabs>
          <w:tab w:val="left" w:pos="4536" w:leader="none"/>
        </w:tabs>
        <w:rPr>
          <w:b w:val="false"/>
          <w:b w:val="false"/>
          <w:sz w:val="20"/>
        </w:rPr>
      </w:pPr>
      <w:r>
        <w:rPr>
          <w:b w:val="false"/>
          <w:sz w:val="20"/>
        </w:rPr>
        <w:t>Per accettazione del Cliente</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t>Luogo: [ _______________ ]</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t>Data:   [ ____ /_____ /_______ ]</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t>Firma: [ ________________________ ]</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r>
    </w:p>
    <w:p>
      <w:pPr>
        <w:pStyle w:val="Normal"/>
        <w:tabs>
          <w:tab w:val="left" w:pos="4536" w:leader="none"/>
        </w:tabs>
        <w:jc w:val="both"/>
        <w:rPr>
          <w:b w:val="false"/>
          <w:b w:val="false"/>
          <w:sz w:val="20"/>
        </w:rPr>
      </w:pPr>
      <w:r>
        <w:rPr>
          <w:b w:val="false"/>
          <w:sz w:val="20"/>
        </w:rPr>
        <w:t>Ai sensi e per gli effetti degli articoli 1341 e 1342 c.c. il Cliente approva espressamente le clausole 3 (Compenso e spese); 6 (Raccolta delle informazioni); 7 (Durata); 8 (Manleva);11 (Foro competente e legge applicabile).</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t>Luogo: [ _______________ ]</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t>Data:   [ ____ /_____ /_______ ]</w:t>
      </w:r>
    </w:p>
    <w:p>
      <w:pPr>
        <w:pStyle w:val="Normal"/>
        <w:tabs>
          <w:tab w:val="left" w:pos="4536" w:leader="none"/>
        </w:tabs>
        <w:rPr>
          <w:b w:val="false"/>
          <w:b w:val="false"/>
          <w:sz w:val="20"/>
        </w:rPr>
      </w:pPr>
      <w:r>
        <w:rPr>
          <w:b w:val="false"/>
          <w:sz w:val="20"/>
        </w:rPr>
      </w:r>
    </w:p>
    <w:p>
      <w:pPr>
        <w:pStyle w:val="Normal"/>
        <w:tabs>
          <w:tab w:val="left" w:pos="4536" w:leader="none"/>
        </w:tabs>
        <w:rPr>
          <w:b w:val="false"/>
          <w:b w:val="false"/>
          <w:sz w:val="20"/>
        </w:rPr>
      </w:pPr>
      <w:r>
        <w:rPr>
          <w:b w:val="false"/>
          <w:sz w:val="20"/>
        </w:rPr>
        <w:t>Firma: [ ________________________ ]</w:t>
      </w:r>
    </w:p>
    <w:p>
      <w:pPr>
        <w:pStyle w:val="Normal"/>
        <w:rPr/>
      </w:pPr>
      <w:r>
        <w:rPr/>
      </w:r>
    </w:p>
    <w:p>
      <w:pPr>
        <w:pStyle w:val="Pidipagina"/>
        <w:rPr/>
      </w:pPr>
      <w:r>
        <w:rPr/>
      </w:r>
    </w:p>
    <w:p>
      <w:pPr>
        <w:pStyle w:val="Pidipagina"/>
        <w:ind w:right="360" w:hanging="0"/>
        <w:rPr/>
      </w:pPr>
      <w:r>
        <w:rPr/>
      </w:r>
    </w:p>
    <w:p>
      <w:pPr>
        <w:pStyle w:val="Pidipagina"/>
        <w:ind w:right="360" w:hanging="0"/>
        <w:rPr/>
      </w:pPr>
      <w:r>
        <w:rPr/>
      </w:r>
    </w:p>
    <w:p>
      <w:pPr>
        <w:pStyle w:val="Pidipagina"/>
        <w:ind w:right="360" w:hanging="0"/>
        <w:rPr/>
      </w:pPr>
      <w:r>
        <w:rPr/>
        <w:t xml:space="preserve">N.B.: </w:t>
      </w:r>
    </w:p>
    <w:p>
      <w:pPr>
        <w:pStyle w:val="Corpodeltesto"/>
        <w:ind w:right="360" w:hanging="0"/>
        <w:rPr/>
      </w:pPr>
      <w:r>
        <w:rPr>
          <w:rFonts w:ascii="Calibri;sans-serif" w:hAnsi="Calibri;sans-serif"/>
          <w:i/>
          <w:color w:val="000000"/>
        </w:rPr>
        <w:t>Le bozze di mandato professionale sono pubblicate da Agat a mero titolo di esempio e non possono sostituire la autonoma elaborazione e redazione da parte di ciascun professionista in considerazione di esigenze e caratteristiche del singolo cliente e della prestazione offerta. La consultazione delle bozze non esonera il professionista dalla conoscenza e dal rispetto di tutti gli adempimenti incombenti per legge in capo al professionista al momento della redazione del mandato professionale.</w:t>
      </w:r>
    </w:p>
    <w:p>
      <w:pPr>
        <w:pStyle w:val="Corpodeltesto"/>
        <w:ind w:right="360" w:hanging="0"/>
        <w:rPr/>
      </w:pPr>
      <w:r>
        <w:rPr>
          <w:rFonts w:ascii="Calibri;sans-serif" w:hAnsi="Calibri;sans-serif"/>
          <w:i/>
          <w:color w:val="000000"/>
        </w:rPr>
        <w:t>Agat declina pertanto qualsiasi responsabilità per l’uso delle bozze</w:t>
      </w:r>
      <w:r>
        <w:rPr>
          <w:rFonts w:ascii="Calibri;sans-serif" w:hAnsi="Calibri;sans-serif"/>
          <w:color w:val="000000"/>
        </w:rPr>
        <w:t>.</w:t>
      </w:r>
    </w:p>
    <w:p>
      <w:pPr>
        <w:pStyle w:val="Pidipagina"/>
        <w:ind w:right="360" w:hanging="0"/>
        <w:rPr/>
      </w:pPr>
      <w:r>
        <w:rPr/>
      </w:r>
    </w:p>
    <w:sectPr>
      <w:headerReference w:type="default" r:id="rId4"/>
      <w:headerReference w:type="first" r:id="rId5"/>
      <w:footerReference w:type="default" r:id="rId6"/>
      <w:footerReference w:type="first" r:id="rId7"/>
      <w:type w:val="nextPage"/>
      <w:pgSz w:w="11906" w:h="16838"/>
      <w:pgMar w:left="1985" w:right="1274" w:header="899" w:top="2268" w:footer="465" w:bottom="1843"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man Old Style">
    <w:charset w:val="00"/>
    <w:family w:val="roman"/>
    <w:pitch w:val="variable"/>
  </w:font>
  <w:font w:name="Calibri">
    <w:altName w:val="sans-serif"/>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567" w:leader="none"/>
        <w:tab w:val="center" w:pos="4819" w:leader="none"/>
        <w:tab w:val="right" w:pos="9638" w:leader="none"/>
      </w:tabs>
      <w:spacing w:lineRule="atLeast" w:line="240" w:before="0" w:after="40"/>
      <w:ind w:left="0" w:hanging="0"/>
      <w:jc w:val="center"/>
      <w:rPr>
        <w:rFonts w:ascii="Bookman Old Style" w:hAnsi="Bookman Old Style" w:eastAsia="Arial Unicode MS" w:cs="Arial Unicode MS"/>
        <w:b w:val="false"/>
        <w:b w:val="false"/>
        <w:color w:val="000000"/>
        <w:sz w:val="14"/>
        <w:szCs w:val="14"/>
      </w:rPr>
    </w:pPr>
    <w:r>
      <w:rPr>
        <w:rFonts w:eastAsia="Arial Unicode MS" w:cs="Arial Unicode MS" w:ascii="Bookman Old Style" w:hAnsi="Bookman Old Style"/>
        <w:b w:val="false"/>
        <w:color w:val="000000"/>
        <w:sz w:val="14"/>
        <w:szCs w:val="1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1" distT="0" distB="0" distL="-635" distR="-635" simplePos="0" locked="0" layoutInCell="1" allowOverlap="1" relativeHeight="4">
              <wp:simplePos x="0" y="0"/>
              <wp:positionH relativeFrom="column">
                <wp:posOffset>5414645</wp:posOffset>
              </wp:positionH>
              <wp:positionV relativeFrom="paragraph">
                <wp:posOffset>635</wp:posOffset>
              </wp:positionV>
              <wp:extent cx="76835" cy="175260"/>
              <wp:effectExtent l="0" t="0" r="0" b="0"/>
              <wp:wrapSquare wrapText="bothSides"/>
              <wp:docPr id="1" name="Cornic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a:ln w="635">
                        <a:solidFill>
                          <a:srgbClr val="000000"/>
                        </a:solidFill>
                      </a:ln>
                    </wps:spPr>
                    <wps:txbx>
                      <w:txbxContent>
                        <w:p>
                          <w:pPr>
                            <w:pStyle w:val="Pidipagina"/>
                            <w:rPr/>
                          </w:pPr>
                          <w:r>
                            <w:rPr/>
                            <w:fldChar w:fldCharType="begin"/>
                          </w:r>
                          <w:r>
                            <w:instrText> PAGE </w:instrText>
                          </w:r>
                          <w:r>
                            <w:fldChar w:fldCharType="separate"/>
                          </w:r>
                          <w:r>
                            <w:t>4</w:t>
                          </w:r>
                          <w: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6.05pt;height:13.8pt;mso-wrap-distance-left:-0.05pt;mso-wrap-distance-right:-0.05pt;mso-wrap-distance-top:0pt;mso-wrap-distance-bottom:0pt;margin-top:0.05pt;mso-position-vertical-relative:text;margin-left:426.35pt;mso-position-horizontal-relative:text">
              <v:fill opacity="0f"/>
              <v:textbox inset="0in,0in,0in,0in">
                <w:txbxContent>
                  <w:p>
                    <w:pPr>
                      <w:pStyle w:val="Pidipagina"/>
                      <w:rPr/>
                    </w:pPr>
                    <w:r>
                      <w:rPr/>
                      <w:fldChar w:fldCharType="begin"/>
                    </w:r>
                    <w:r>
                      <w:instrText> PAGE </w:instrText>
                    </w:r>
                    <w:r>
                      <w:fldChar w:fldCharType="separate"/>
                    </w:r>
                    <w:r>
                      <w:t>4</w:t>
                    </w:r>
                    <w:r>
                      <w:fldChar w:fldCharType="end"/>
                    </w:r>
                  </w:p>
                </w:txbxContent>
              </v:textbox>
              <w10:wrap type="square"/>
            </v:rect>
          </w:pict>
        </mc:Fallback>
      </mc:AlternateConten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1" distT="0" distB="0" distL="-635" distR="-635" simplePos="0" locked="0" layoutInCell="1" allowOverlap="1" relativeHeight="2">
              <wp:simplePos x="0" y="0"/>
              <wp:positionH relativeFrom="column">
                <wp:posOffset>5414645</wp:posOffset>
              </wp:positionH>
              <wp:positionV relativeFrom="paragraph">
                <wp:posOffset>635</wp:posOffset>
              </wp:positionV>
              <wp:extent cx="76835" cy="175260"/>
              <wp:effectExtent l="0" t="0" r="0" b="0"/>
              <wp:wrapSquare wrapText="bothSides"/>
              <wp:docPr id="2" name="Cornice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a:ln w="635">
                        <a:solidFill>
                          <a:srgbClr val="000000"/>
                        </a:solidFill>
                      </a:ln>
                    </wps:spPr>
                    <wps:txbx>
                      <w:txbxContent>
                        <w:p>
                          <w:pPr>
                            <w:pStyle w:val="Pidipagina"/>
                            <w:rPr/>
                          </w:pPr>
                          <w:r>
                            <w:rPr/>
                            <w:fldChar w:fldCharType="begin"/>
                          </w:r>
                          <w:r>
                            <w:instrText> PAGE </w:instrText>
                          </w:r>
                          <w:r>
                            <w:fldChar w:fldCharType="separate"/>
                          </w:r>
                          <w:r>
                            <w:t>2</w:t>
                          </w:r>
                          <w: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6.05pt;height:13.8pt;mso-wrap-distance-left:-0.05pt;mso-wrap-distance-right:-0.05pt;mso-wrap-distance-top:0pt;mso-wrap-distance-bottom:0pt;margin-top:0.05pt;mso-position-vertical-relative:text;margin-left:426.35pt;mso-position-horizontal-relative:text">
              <v:fill opacity="0f"/>
              <v:textbox inset="0in,0in,0in,0in">
                <w:txbxContent>
                  <w:p>
                    <w:pPr>
                      <w:pStyle w:val="Pidipagina"/>
                      <w:rPr/>
                    </w:pPr>
                    <w:r>
                      <w:rPr/>
                      <w:fldChar w:fldCharType="begin"/>
                    </w:r>
                    <w:r>
                      <w:instrText> PAGE </w:instrText>
                    </w:r>
                    <w:r>
                      <w:fldChar w:fldCharType="separate"/>
                    </w:r>
                    <w:r>
                      <w:t>2</w:t>
                    </w:r>
                    <w:r>
                      <w:fldChar w:fldCharType="end"/>
                    </w:r>
                  </w:p>
                </w:txbxContent>
              </v:textbox>
              <w10:wrap type="square"/>
            </v:rect>
          </w:pict>
        </mc:Fallback>
      </mc:AlternateConten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Bozza modello mandato civile (giudiziale)</w:t>
    </w:r>
  </w:p>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none"/>
      <w:suff w:val="nothing"/>
      <w:lvlText w:val=""/>
      <w:lvlJc w:val="left"/>
      <w:pPr>
        <w:ind w:left="360" w:hanging="360"/>
      </w:pPr>
      <w:rPr>
        <w:rFonts w:cs="Times New Roman"/>
      </w:rPr>
    </w:lvl>
    <w:lvl w:ilvl="1">
      <w:start w:val="3"/>
      <w:numFmt w:val="decimal"/>
      <w:lvlText w:val="%2"/>
      <w:lvlJc w:val="left"/>
      <w:pPr>
        <w:ind w:left="0" w:hanging="360"/>
      </w:pPr>
      <w:rPr>
        <w:sz w:val="20"/>
        <w:b w:val="false"/>
        <w:rFonts w:cs="Times New Roman"/>
      </w:rPr>
    </w:lvl>
    <w:lvl w:ilvl="2">
      <w:start w:val="1"/>
      <w:numFmt w:val="decimal"/>
      <w:lvlText w:val="%2.%3"/>
      <w:lvlJc w:val="left"/>
      <w:pPr>
        <w:ind w:left="0" w:hanging="720"/>
      </w:pPr>
      <w:rPr>
        <w:rFonts w:cs="Times New Roman"/>
      </w:rPr>
    </w:lvl>
    <w:lvl w:ilvl="3">
      <w:start w:val="1"/>
      <w:numFmt w:val="decimal"/>
      <w:lvlText w:val="%2.%3.%4"/>
      <w:lvlJc w:val="left"/>
      <w:pPr>
        <w:ind w:left="0" w:hanging="720"/>
      </w:pPr>
      <w:rPr>
        <w:rFonts w:cs="Times New Roman"/>
      </w:rPr>
    </w:lvl>
    <w:lvl w:ilvl="4">
      <w:start w:val="1"/>
      <w:numFmt w:val="decimal"/>
      <w:lvlText w:val="%2.%3.%4.%5"/>
      <w:lvlJc w:val="left"/>
      <w:pPr>
        <w:ind w:left="0" w:hanging="1080"/>
      </w:pPr>
      <w:rPr>
        <w:rFonts w:cs="Times New Roman"/>
      </w:rPr>
    </w:lvl>
    <w:lvl w:ilvl="5">
      <w:start w:val="1"/>
      <w:numFmt w:val="decimal"/>
      <w:lvlText w:val="%2.%3.%4.%5.%6"/>
      <w:lvlJc w:val="left"/>
      <w:pPr>
        <w:ind w:left="0" w:hanging="1080"/>
      </w:pPr>
      <w:rPr>
        <w:rFonts w:cs="Times New Roman"/>
      </w:rPr>
    </w:lvl>
    <w:lvl w:ilvl="6">
      <w:start w:val="1"/>
      <w:numFmt w:val="decimal"/>
      <w:lvlText w:val="%2.%3.%4.%5.%6.%7"/>
      <w:lvlJc w:val="left"/>
      <w:pPr>
        <w:ind w:left="0" w:hanging="1440"/>
      </w:pPr>
      <w:rPr>
        <w:rFonts w:cs="Times New Roman"/>
      </w:rPr>
    </w:lvl>
    <w:lvl w:ilvl="7">
      <w:start w:val="1"/>
      <w:numFmt w:val="decimal"/>
      <w:lvlText w:val="%2.%3.%4.%5.%6.%7.%8"/>
      <w:lvlJc w:val="left"/>
      <w:pPr>
        <w:ind w:left="0" w:hanging="1440"/>
      </w:pPr>
      <w:rPr>
        <w:rFonts w:cs="Times New Roman"/>
      </w:rPr>
    </w:lvl>
    <w:lvl w:ilvl="8">
      <w:start w:val="1"/>
      <w:numFmt w:val="decimal"/>
      <w:lvlText w:val="%2.%3.%4.%5.%6.%7.%8.%9"/>
      <w:lvlJc w:val="left"/>
      <w:pPr>
        <w:ind w:left="0" w:hanging="1440"/>
      </w:pPr>
      <w:rPr>
        <w:rFonts w:cs="Times New Roman"/>
      </w:rPr>
    </w:lvl>
  </w:abstractNum>
  <w:abstractNum w:abstractNumId="2">
    <w:lvl w:ilvl="0">
      <w:start w:val="3"/>
      <w:numFmt w:val="none"/>
      <w:suff w:val="nothing"/>
      <w:lvlText w:val=""/>
      <w:lvlJc w:val="left"/>
      <w:pPr>
        <w:ind w:left="360" w:hanging="360"/>
      </w:pPr>
      <w:rPr>
        <w:sz w:val="20"/>
        <w:b w:val="false"/>
        <w:rFonts w:cs="Times New Roman"/>
      </w:rPr>
    </w:lvl>
    <w:lvl w:ilvl="1">
      <w:start w:val="2"/>
      <w:numFmt w:val="decimal"/>
      <w:lvlText w:val="%2"/>
      <w:lvlJc w:val="left"/>
      <w:pPr>
        <w:ind w:left="0" w:hanging="360"/>
      </w:pPr>
      <w:rPr>
        <w:sz w:val="20"/>
        <w:b w:val="false"/>
        <w:rFonts w:cs="Times New Roman"/>
      </w:rPr>
    </w:lvl>
    <w:lvl w:ilvl="2">
      <w:start w:val="1"/>
      <w:numFmt w:val="lowerRoman"/>
      <w:lvlText w:val="(%3)"/>
      <w:lvlJc w:val="left"/>
      <w:pPr>
        <w:ind w:left="0" w:hanging="720"/>
      </w:pPr>
      <w:rPr>
        <w:sz w:val="20"/>
        <w:b w:val="false"/>
        <w:rFonts w:cs="Times New Roman"/>
      </w:rPr>
    </w:lvl>
    <w:lvl w:ilvl="3">
      <w:start w:val="1"/>
      <w:numFmt w:val="decimal"/>
      <w:lvlText w:val="%2.%3.%4"/>
      <w:lvlJc w:val="left"/>
      <w:pPr>
        <w:ind w:left="0" w:hanging="720"/>
      </w:pPr>
      <w:rPr>
        <w:sz w:val="20"/>
        <w:b w:val="false"/>
        <w:rFonts w:cs="Times New Roman"/>
      </w:rPr>
    </w:lvl>
    <w:lvl w:ilvl="4">
      <w:start w:val="1"/>
      <w:numFmt w:val="decimal"/>
      <w:lvlText w:val="%2.%3.%4.%5"/>
      <w:lvlJc w:val="left"/>
      <w:pPr>
        <w:ind w:left="0" w:hanging="1080"/>
      </w:pPr>
      <w:rPr>
        <w:sz w:val="20"/>
        <w:b w:val="false"/>
        <w:rFonts w:cs="Times New Roman"/>
      </w:rPr>
    </w:lvl>
    <w:lvl w:ilvl="5">
      <w:start w:val="1"/>
      <w:numFmt w:val="decimal"/>
      <w:lvlText w:val="%2.%3.%4.%5.%6"/>
      <w:lvlJc w:val="left"/>
      <w:pPr>
        <w:ind w:left="0" w:hanging="1080"/>
      </w:pPr>
      <w:rPr>
        <w:sz w:val="20"/>
        <w:b w:val="false"/>
        <w:rFonts w:cs="Times New Roman"/>
      </w:rPr>
    </w:lvl>
    <w:lvl w:ilvl="6">
      <w:start w:val="1"/>
      <w:numFmt w:val="decimal"/>
      <w:lvlText w:val="%2.%3.%4.%5.%6.%7"/>
      <w:lvlJc w:val="left"/>
      <w:pPr>
        <w:ind w:left="0" w:hanging="1440"/>
      </w:pPr>
      <w:rPr>
        <w:sz w:val="20"/>
        <w:b w:val="false"/>
        <w:rFonts w:cs="Times New Roman"/>
      </w:rPr>
    </w:lvl>
    <w:lvl w:ilvl="7">
      <w:start w:val="1"/>
      <w:numFmt w:val="decimal"/>
      <w:lvlText w:val="%2.%3.%4.%5.%6.%7.%8"/>
      <w:lvlJc w:val="left"/>
      <w:pPr>
        <w:ind w:left="0" w:hanging="1440"/>
      </w:pPr>
      <w:rPr>
        <w:sz w:val="20"/>
        <w:b w:val="false"/>
        <w:rFonts w:cs="Times New Roman"/>
      </w:rPr>
    </w:lvl>
    <w:lvl w:ilvl="8">
      <w:start w:val="1"/>
      <w:numFmt w:val="decimal"/>
      <w:lvlText w:val="%2.%3.%4.%5.%6.%7.%8.%9"/>
      <w:lvlJc w:val="left"/>
      <w:pPr>
        <w:ind w:left="0" w:hanging="1440"/>
      </w:pPr>
      <w:rPr>
        <w:sz w:val="20"/>
        <w:b w:val="false"/>
        <w:rFonts w:cs="Times New Roman"/>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semiHidden="0" w:unhideWhenUsed="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b/>
      <w:color w:val="auto"/>
      <w:sz w:val="24"/>
      <w:szCs w:val="20"/>
      <w:lang w:eastAsia="en-US" w:val="it-IT"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Pr>
      <w:rFonts w:ascii="Times New Roman" w:hAnsi="Times New Roman" w:cs="Times New Roman"/>
      <w:b/>
      <w:sz w:val="20"/>
      <w:szCs w:val="20"/>
    </w:rPr>
  </w:style>
  <w:style w:type="character" w:styleId="FooterChar" w:customStyle="1">
    <w:name w:val="Footer Char"/>
    <w:basedOn w:val="DefaultParagraphFont"/>
    <w:link w:val="Footer"/>
    <w:uiPriority w:val="99"/>
    <w:qFormat/>
    <w:locked/>
    <w:rPr>
      <w:rFonts w:ascii="Times New Roman" w:hAnsi="Times New Roman" w:cs="Times New Roman"/>
      <w:b/>
      <w:sz w:val="20"/>
      <w:szCs w:val="20"/>
    </w:rPr>
  </w:style>
  <w:style w:type="character" w:styleId="Pagenumber">
    <w:name w:val="page number"/>
    <w:basedOn w:val="DefaultParagraphFont"/>
    <w:uiPriority w:val="99"/>
    <w:qFormat/>
    <w:rPr>
      <w:rFonts w:cs="Times New Roman"/>
    </w:rPr>
  </w:style>
  <w:style w:type="character" w:styleId="BalloonTextChar" w:customStyle="1">
    <w:name w:val="Balloon Text Char"/>
    <w:basedOn w:val="DefaultParagraphFont"/>
    <w:link w:val="BalloonText"/>
    <w:uiPriority w:val="99"/>
    <w:semiHidden/>
    <w:qFormat/>
    <w:locked/>
    <w:rPr>
      <w:rFonts w:ascii="Tahoma" w:hAnsi="Tahoma" w:cs="Tahoma"/>
      <w:b/>
      <w:sz w:val="16"/>
      <w:szCs w:val="16"/>
    </w:rPr>
  </w:style>
  <w:style w:type="character" w:styleId="ListLabel1" w:customStyle="1">
    <w:name w:val="ListLabel 1"/>
    <w:uiPriority w:val="99"/>
    <w:qFormat/>
    <w:rsid w:val="001d5446"/>
    <w:rPr>
      <w:b/>
    </w:rPr>
  </w:style>
  <w:style w:type="character" w:styleId="ListLabel2" w:customStyle="1">
    <w:name w:val="ListLabel 2"/>
    <w:uiPriority w:val="99"/>
    <w:qFormat/>
    <w:rsid w:val="001d5446"/>
    <w:rPr/>
  </w:style>
  <w:style w:type="character" w:styleId="TitleChar" w:customStyle="1">
    <w:name w:val="Title Char"/>
    <w:basedOn w:val="DefaultParagraphFont"/>
    <w:link w:val="Title"/>
    <w:uiPriority w:val="10"/>
    <w:qFormat/>
    <w:rsid w:val="00e1559e"/>
    <w:rPr>
      <w:rFonts w:ascii="Cambria" w:hAnsi="Cambria" w:eastAsia="" w:cs="" w:asciiTheme="majorHAnsi" w:cstheme="majorBidi" w:eastAsiaTheme="majorEastAsia" w:hAnsiTheme="majorHAnsi"/>
      <w:b/>
      <w:bCs/>
      <w:sz w:val="32"/>
      <w:szCs w:val="32"/>
      <w:lang w:eastAsia="en-US"/>
    </w:rPr>
  </w:style>
  <w:style w:type="character" w:styleId="BodyTextChar" w:customStyle="1">
    <w:name w:val="Body Text Char"/>
    <w:basedOn w:val="DefaultParagraphFont"/>
    <w:link w:val="BodyText"/>
    <w:uiPriority w:val="99"/>
    <w:semiHidden/>
    <w:qFormat/>
    <w:rsid w:val="00e1559e"/>
    <w:rPr>
      <w:rFonts w:ascii="Times New Roman" w:hAnsi="Times New Roman" w:eastAsia="Times New Roman" w:cs="Times New Roman"/>
      <w:b/>
      <w:sz w:val="24"/>
      <w:szCs w:val="20"/>
      <w:lang w:eastAsia="en-US"/>
    </w:rPr>
  </w:style>
  <w:style w:type="character" w:styleId="HeaderChar1" w:customStyle="1">
    <w:name w:val="Header Char1"/>
    <w:basedOn w:val="DefaultParagraphFont"/>
    <w:link w:val="Header"/>
    <w:uiPriority w:val="99"/>
    <w:semiHidden/>
    <w:qFormat/>
    <w:rsid w:val="00e1559e"/>
    <w:rPr>
      <w:rFonts w:ascii="Times New Roman" w:hAnsi="Times New Roman" w:eastAsia="Times New Roman" w:cs="Times New Roman"/>
      <w:b/>
      <w:sz w:val="24"/>
      <w:szCs w:val="20"/>
      <w:lang w:eastAsia="en-US"/>
    </w:rPr>
  </w:style>
  <w:style w:type="character" w:styleId="FooterChar1" w:customStyle="1">
    <w:name w:val="Footer Char1"/>
    <w:basedOn w:val="DefaultParagraphFont"/>
    <w:link w:val="Footer"/>
    <w:uiPriority w:val="99"/>
    <w:semiHidden/>
    <w:qFormat/>
    <w:rsid w:val="00e1559e"/>
    <w:rPr>
      <w:rFonts w:ascii="Times New Roman" w:hAnsi="Times New Roman" w:eastAsia="Times New Roman" w:cs="Times New Roman"/>
      <w:b/>
      <w:sz w:val="24"/>
      <w:szCs w:val="20"/>
      <w:lang w:eastAsia="en-US"/>
    </w:rPr>
  </w:style>
  <w:style w:type="character" w:styleId="BalloonTextChar1" w:customStyle="1">
    <w:name w:val="Balloon Text Char1"/>
    <w:basedOn w:val="DefaultParagraphFont"/>
    <w:link w:val="BalloonText"/>
    <w:uiPriority w:val="99"/>
    <w:semiHidden/>
    <w:qFormat/>
    <w:rsid w:val="00e1559e"/>
    <w:rPr>
      <w:rFonts w:ascii="Times New Roman" w:hAnsi="Times New Roman" w:eastAsia="Times New Roman" w:cs="Times New Roman"/>
      <w:b/>
      <w:sz w:val="0"/>
      <w:szCs w:val="0"/>
      <w:lang w:eastAsia="en-US"/>
    </w:rPr>
  </w:style>
  <w:style w:type="character" w:styleId="ListLabel3">
    <w:name w:val="ListLabel 3"/>
    <w:qFormat/>
    <w:rPr>
      <w:rFonts w:cs="Times New Roman"/>
    </w:rPr>
  </w:style>
  <w:style w:type="character" w:styleId="ListLabel4">
    <w:name w:val="ListLabel 4"/>
    <w:qFormat/>
    <w:rPr>
      <w:rFonts w:cs="Times New Roman"/>
      <w:b w:val="false"/>
      <w:sz w:val="20"/>
    </w:rPr>
  </w:style>
  <w:style w:type="character" w:styleId="ListLabel5">
    <w:name w:val="ListLabel 5"/>
    <w:qFormat/>
    <w:rPr>
      <w:rFonts w:cs="Times New Roman"/>
      <w:b w:val="false"/>
      <w:sz w:val="20"/>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link w:val="BodyTextChar"/>
    <w:uiPriority w:val="99"/>
    <w:rsid w:val="001d5446"/>
    <w:pPr>
      <w:spacing w:lineRule="auto" w:line="288" w:before="0" w:after="140"/>
    </w:pPr>
    <w:rPr/>
  </w:style>
  <w:style w:type="paragraph" w:styleId="Elenco">
    <w:name w:val="Elenco"/>
    <w:basedOn w:val="Corpodeltesto"/>
    <w:uiPriority w:val="99"/>
    <w:rsid w:val="001d5446"/>
    <w:pPr/>
    <w:rPr>
      <w:rFonts w:cs="FreeSans"/>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qFormat/>
    <w:rsid w:val="001d5446"/>
    <w:pPr>
      <w:suppressLineNumbers/>
    </w:pPr>
    <w:rPr>
      <w:rFonts w:cs="FreeSans"/>
    </w:rPr>
  </w:style>
  <w:style w:type="paragraph" w:styleId="Titoloprincipale">
    <w:name w:val="Titolo principale"/>
    <w:basedOn w:val="Normal"/>
    <w:next w:val="Corpodeltesto"/>
    <w:link w:val="TitleChar"/>
    <w:uiPriority w:val="99"/>
    <w:qFormat/>
    <w:rsid w:val="001d5446"/>
    <w:pPr>
      <w:keepNext/>
      <w:spacing w:before="240" w:after="120"/>
    </w:pPr>
    <w:rPr>
      <w:rFonts w:ascii="Liberation Sans" w:hAnsi="Liberation Sans" w:eastAsia="Droid Sans Fallback" w:cs="FreeSans"/>
      <w:sz w:val="28"/>
      <w:szCs w:val="28"/>
    </w:rPr>
  </w:style>
  <w:style w:type="paragraph" w:styleId="Caption">
    <w:name w:val="caption"/>
    <w:basedOn w:val="Normal"/>
    <w:uiPriority w:val="99"/>
    <w:qFormat/>
    <w:rsid w:val="001d5446"/>
    <w:pPr>
      <w:suppressLineNumbers/>
      <w:spacing w:before="120" w:after="120"/>
    </w:pPr>
    <w:rPr>
      <w:rFonts w:cs="FreeSans"/>
      <w:i/>
      <w:iCs/>
      <w:szCs w:val="24"/>
    </w:rPr>
  </w:style>
  <w:style w:type="paragraph" w:styleId="Intestazione">
    <w:name w:val="Intestazione"/>
    <w:basedOn w:val="Normal"/>
    <w:link w:val="HeaderChar"/>
    <w:uiPriority w:val="99"/>
    <w:pPr>
      <w:tabs>
        <w:tab w:val="center" w:pos="4819" w:leader="none"/>
        <w:tab w:val="right" w:pos="9638" w:leader="none"/>
      </w:tabs>
    </w:pPr>
    <w:rPr/>
  </w:style>
  <w:style w:type="paragraph" w:styleId="Pidipagina">
    <w:name w:val="Piè di pagina"/>
    <w:basedOn w:val="Normal"/>
    <w:link w:val="FooterChar"/>
    <w:uiPriority w:val="99"/>
    <w:pPr>
      <w:tabs>
        <w:tab w:val="center" w:pos="4819" w:leader="none"/>
        <w:tab w:val="right" w:pos="9638" w:leader="none"/>
      </w:tabs>
    </w:pPr>
    <w:rPr/>
  </w:style>
  <w:style w:type="paragraph" w:styleId="ListParagraph">
    <w:name w:val="List Paragraph"/>
    <w:basedOn w:val="Normal"/>
    <w:uiPriority w:val="99"/>
    <w:qFormat/>
    <w:pPr>
      <w:spacing w:before="0" w:after="0"/>
      <w:ind w:left="720" w:hanging="0"/>
      <w:contextualSpacing/>
    </w:pPr>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Contenutocornice" w:customStyle="1">
    <w:name w:val="Contenuto cornice"/>
    <w:basedOn w:val="Normal"/>
    <w:uiPriority w:val="99"/>
    <w:qFormat/>
    <w:rsid w:val="001d5446"/>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Application>LibreOffice/5.0.5.2$Windows_x86 LibreOffice_project/55b006a02d247b5f7215fc6ea0fde844b30035b3</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2016-01-08T16:50:00Z</dcterms:created>
  <dc:creator>Francesco Salinas</dc:creator>
  <dc:language>it-IT</dc:language>
  <cp:lastPrinted>2016-02-03T08:02:00Z</cp:lastPrinted>
  <dcterms:modified xsi:type="dcterms:W3CDTF">2016-04-28T18:31:07Z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